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EF67" w14:textId="77777777" w:rsidR="003D7BA1" w:rsidRPr="003D7BA1" w:rsidRDefault="003D7BA1" w:rsidP="003D7BA1">
      <w:pPr>
        <w:spacing w:after="0" w:line="240" w:lineRule="atLeast"/>
        <w:textAlignment w:val="baseline"/>
        <w:outlineLvl w:val="1"/>
        <w:rPr>
          <w:rFonts w:ascii="Open Sans" w:eastAsia="Times New Roman" w:hAnsi="Open Sans" w:cs="Open Sans"/>
          <w:color w:val="333333"/>
          <w:kern w:val="0"/>
          <w:sz w:val="39"/>
          <w:szCs w:val="39"/>
          <w14:ligatures w14:val="none"/>
        </w:rPr>
      </w:pPr>
      <w:r w:rsidRPr="003D7BA1">
        <w:rPr>
          <w:rFonts w:ascii="Open Sans" w:eastAsia="Times New Roman" w:hAnsi="Open Sans" w:cs="Open Sans"/>
          <w:color w:val="333333"/>
          <w:kern w:val="0"/>
          <w:sz w:val="39"/>
          <w:szCs w:val="39"/>
          <w14:ligatures w14:val="none"/>
        </w:rPr>
        <w:t>Instructions For Application to Rent</w:t>
      </w:r>
    </w:p>
    <w:p w14:paraId="27AA3044" w14:textId="77777777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Please read thoroughly prior to filing out application(s)</w:t>
      </w:r>
    </w:p>
    <w:p w14:paraId="470A5F1E" w14:textId="5A6FAAD0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There is a non-refundable tenant screening/credit check fee of $5</w:t>
      </w:r>
      <w:r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0</w:t>
      </w:r>
      <w:r w:rsidRPr="003D7BA1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.00 per application. </w:t>
      </w:r>
    </w:p>
    <w:p w14:paraId="73EFE780" w14:textId="5C043400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Request an application for the property you are interested in.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You</w:t>
      </w:r>
      <w:proofErr w:type="spellEnd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 xml:space="preserve"> will be able to select other properties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later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.</w:t>
      </w:r>
    </w:p>
    <w:p w14:paraId="5590FF07" w14:textId="29699D50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Please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submit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one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a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pplication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for each adult (18 or older) who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will be occupying the rental property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. Each person must complete a separate application and have a unique email address.</w:t>
      </w:r>
    </w:p>
    <w:p w14:paraId="36948E2E" w14:textId="5B544769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A photocopy of picture identification for each adult must be turned in with each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application.</w:t>
      </w:r>
    </w:p>
    <w:p w14:paraId="7C1F3DFE" w14:textId="2A3443C0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The application(s) must be fully complete with all needed documentation uploaded before we can begin processing the application(s). The Application to Rent cannot be processed incomplete and without tenant screening/credit check fee of $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50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.00 per application.</w:t>
      </w:r>
    </w:p>
    <w:p w14:paraId="559A3DD2" w14:textId="59005732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The average processing time is three days. Please note that under certain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circumstances process time may exceed three days.</w:t>
      </w:r>
    </w:p>
    <w:p w14:paraId="28579D32" w14:textId="77777777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Waterbeds will require an additional deposit prior to installation.</w:t>
      </w:r>
    </w:p>
    <w:p w14:paraId="443640A2" w14:textId="77777777" w:rsidR="003D7BA1" w:rsidRPr="003D7BA1" w:rsidRDefault="003D7BA1" w:rsidP="003D7BA1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Acceptance of this application and fees </w:t>
      </w:r>
      <w:proofErr w:type="gramStart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does</w:t>
      </w:r>
      <w:proofErr w:type="gramEnd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not guarantee you a rental property.</w:t>
      </w:r>
    </w:p>
    <w:p w14:paraId="705A6CE7" w14:textId="47573932" w:rsidR="003D7BA1" w:rsidRPr="003D7BA1" w:rsidRDefault="003D7BA1" w:rsidP="003D7BA1">
      <w:pPr>
        <w:spacing w:after="0" w:line="0" w:lineRule="auto"/>
        <w:jc w:val="center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fldChar w:fldCharType="begin"/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instrText xml:space="preserve"> INCLUDEPICTURE "https://pivetticompany.com/wp-content/uploads/2019/03/couple-home-house-1288482_new.jpg" \* MERGEFORMATINET </w:instrTex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fldChar w:fldCharType="separate"/>
      </w:r>
      <w:r w:rsidRPr="003D7BA1">
        <w:rPr>
          <w:rFonts w:ascii="Open Sans" w:eastAsia="Times New Roman" w:hAnsi="Open Sans" w:cs="Open Sans"/>
          <w:noProof/>
          <w:color w:val="666666"/>
          <w:kern w:val="0"/>
          <w:sz w:val="21"/>
          <w:szCs w:val="21"/>
          <w:bdr w:val="none" w:sz="0" w:space="0" w:color="auto" w:frame="1"/>
          <w14:ligatures w14:val="none"/>
        </w:rPr>
        <w:drawing>
          <wp:inline distT="0" distB="0" distL="0" distR="0" wp14:anchorId="5AB4D1D0" wp14:editId="03AE0DE2">
            <wp:extent cx="5943600" cy="3966845"/>
            <wp:effectExtent l="0" t="0" r="0" b="0"/>
            <wp:docPr id="1718361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fldChar w:fldCharType="end"/>
      </w:r>
    </w:p>
    <w:p w14:paraId="5810C2E4" w14:textId="77777777" w:rsidR="003D7BA1" w:rsidRPr="003D7BA1" w:rsidRDefault="003D7BA1" w:rsidP="003D7BA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3D7BA1"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  <w:lastRenderedPageBreak/>
        <w:t>QUALIFICATION FOR APPROVAL OF OCCUPANCY</w:t>
      </w:r>
    </w:p>
    <w:p w14:paraId="1611911A" w14:textId="77777777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Please read thoroughly prior to filing out application(s).</w:t>
      </w:r>
    </w:p>
    <w:p w14:paraId="3AF857FB" w14:textId="77777777" w:rsidR="003D7BA1" w:rsidRPr="003D7BA1" w:rsidRDefault="003D7BA1" w:rsidP="003D7BA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3D7BA1"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  <w:t>CREDIT HISTORY</w:t>
      </w:r>
    </w:p>
    <w:p w14:paraId="6454013D" w14:textId="51E0175F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The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National Commercial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Property Management pledges to the property owners that approved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applicants have a good credit history. This is verified by running a credit check on all adult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a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pplications. Any evidence of bankruptcy, collection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accounts, charge-off accounts and/or excessive delinquent account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may result in the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denial of your application.</w:t>
      </w:r>
    </w:p>
    <w:p w14:paraId="05C05ED3" w14:textId="77777777" w:rsidR="003D7BA1" w:rsidRPr="003D7BA1" w:rsidRDefault="003D7BA1" w:rsidP="003D7BA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3D7BA1"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  <w:t>TENANT HISTORY</w:t>
      </w:r>
    </w:p>
    <w:p w14:paraId="40027A14" w14:textId="77777777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Three verifiable tenant references from current and previous property owners / managers that reflect a history of satisfactory tenancy.</w:t>
      </w:r>
    </w:p>
    <w:p w14:paraId="3A12184C" w14:textId="77777777" w:rsidR="003D7BA1" w:rsidRPr="003D7BA1" w:rsidRDefault="003D7BA1" w:rsidP="003D7BA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3D7BA1"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  <w:t>RENT TO INCOME RATIO</w:t>
      </w:r>
    </w:p>
    <w:p w14:paraId="633AFCF0" w14:textId="01DC612F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The combined gross income (before taxes) must be at least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two and a half times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the amount of the monthly rent. In most cases, your employer verifies this. If you are </w:t>
      </w:r>
      <w:proofErr w:type="gramStart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self-employed</w:t>
      </w:r>
      <w:proofErr w:type="gramEnd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we require verification of your income by your most recent income tax form filed or equivalent.</w:t>
      </w:r>
    </w:p>
    <w:p w14:paraId="69068184" w14:textId="77777777" w:rsidR="003D7BA1" w:rsidRPr="003D7BA1" w:rsidRDefault="003D7BA1" w:rsidP="003D7BA1">
      <w:pPr>
        <w:spacing w:after="0" w:line="240" w:lineRule="atLeast"/>
        <w:textAlignment w:val="baseline"/>
        <w:outlineLvl w:val="2"/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</w:pPr>
      <w:r w:rsidRPr="003D7BA1">
        <w:rPr>
          <w:rFonts w:ascii="Open Sans" w:eastAsia="Times New Roman" w:hAnsi="Open Sans" w:cs="Open Sans"/>
          <w:color w:val="333333"/>
          <w:kern w:val="0"/>
          <w:sz w:val="33"/>
          <w:szCs w:val="33"/>
          <w14:ligatures w14:val="none"/>
        </w:rPr>
        <w:t>PETS POLICY</w:t>
      </w:r>
    </w:p>
    <w:p w14:paraId="39A3883C" w14:textId="0CA001D8" w:rsidR="003D7BA1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Individual owners have set standards to be followed within each rental property.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Likewise, it is best to ask regarding the pet policy for the individual properties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 xml:space="preserve">if you have any pets. Please note that </w:t>
      </w:r>
      <w:proofErr w:type="gramStart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at this time</w:t>
      </w:r>
      <w:proofErr w:type="gramEnd"/>
      <w:r w:rsidRPr="003D7BA1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, apartment complexes do not accept any pets.</w:t>
      </w:r>
    </w:p>
    <w:p w14:paraId="6FAA010B" w14:textId="782CF2D6" w:rsidR="006C2216" w:rsidRPr="003D7BA1" w:rsidRDefault="003D7BA1" w:rsidP="003D7BA1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i/>
          <w:i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National Commercial</w:t>
      </w:r>
      <w:r w:rsidRPr="003D7BA1">
        <w:rPr>
          <w:rFonts w:ascii="Open Sans" w:eastAsia="Times New Roman" w:hAnsi="Open Sans" w:cs="Open Sans"/>
          <w:i/>
          <w:i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 xml:space="preserve"> Property Management proudly pledges to support equal</w:t>
      </w:r>
      <w:r>
        <w:rPr>
          <w:rFonts w:ascii="Open Sans" w:eastAsia="Times New Roman" w:hAnsi="Open Sans" w:cs="Open Sans"/>
          <w:i/>
          <w:i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Pr="003D7BA1">
        <w:rPr>
          <w:rFonts w:ascii="Open Sans" w:eastAsia="Times New Roman" w:hAnsi="Open Sans" w:cs="Open Sans"/>
          <w:i/>
          <w:iCs/>
          <w:color w:val="666666"/>
          <w:kern w:val="0"/>
          <w:sz w:val="21"/>
          <w:szCs w:val="21"/>
          <w:bdr w:val="none" w:sz="0" w:space="0" w:color="auto" w:frame="1"/>
          <w14:ligatures w14:val="none"/>
        </w:rPr>
        <w:t>opportunity. In no way will we discriminate against anyone due to race, ethnicity, handicap, religion, color, age, ancestry, sex, or marital status.</w:t>
      </w:r>
    </w:p>
    <w:sectPr w:rsidR="006C2216" w:rsidRPr="003D7BA1" w:rsidSect="006C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AE1"/>
    <w:multiLevelType w:val="multilevel"/>
    <w:tmpl w:val="259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177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A1"/>
    <w:rsid w:val="003D7BA1"/>
    <w:rsid w:val="006C2216"/>
    <w:rsid w:val="00A17AA2"/>
    <w:rsid w:val="00B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CB2B0"/>
  <w15:chartTrackingRefBased/>
  <w15:docId w15:val="{0FBEAF17-7B90-FA41-92A9-1CD4ED44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7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7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B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7B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7B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D7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Prouty</dc:creator>
  <cp:keywords/>
  <dc:description/>
  <cp:lastModifiedBy>Kym Prouty</cp:lastModifiedBy>
  <cp:revision>1</cp:revision>
  <dcterms:created xsi:type="dcterms:W3CDTF">2026-04-02T23:00:00Z</dcterms:created>
  <dcterms:modified xsi:type="dcterms:W3CDTF">2026-04-02T23:08:00Z</dcterms:modified>
</cp:coreProperties>
</file>